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8FBC" w14:textId="77777777" w:rsidR="0086479E" w:rsidRPr="005F6E84" w:rsidRDefault="00BD22EC" w:rsidP="00944F82">
      <w:pPr>
        <w:pStyle w:val="NoSpacing"/>
        <w:jc w:val="right"/>
        <w:rPr>
          <w:b/>
          <w:color w:val="00439E" w:themeColor="accent5" w:themeShade="BF"/>
          <w:sz w:val="32"/>
          <w:szCs w:val="32"/>
        </w:rPr>
      </w:pPr>
      <w:r>
        <w:rPr>
          <w:b/>
          <w:color w:val="00439E" w:themeColor="accent5" w:themeShade="BF"/>
          <w:sz w:val="32"/>
          <w:szCs w:val="32"/>
        </w:rPr>
        <w:t xml:space="preserve">                  </w:t>
      </w:r>
      <w:r w:rsidRPr="00BD22EC">
        <w:rPr>
          <w:b/>
          <w:noProof/>
          <w:color w:val="00439E" w:themeColor="accent5" w:themeShade="BF"/>
          <w:sz w:val="32"/>
          <w:szCs w:val="32"/>
        </w:rPr>
        <w:drawing>
          <wp:inline distT="0" distB="0" distL="0" distR="0" wp14:anchorId="7D389009" wp14:editId="7D38900A">
            <wp:extent cx="1337464" cy="952500"/>
            <wp:effectExtent l="0" t="0" r="0" b="0"/>
            <wp:docPr id="3" name="Picture 3" descr="M:\BRANDING\LOGOS AND BRANDING\Corporate Logos\CORPORATE LOGOS 2017\CORPORATE LOGOS JPEGS 2017\TT Corporate arc logo white backgroun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ING\LOGOS AND BRANDING\Corporate Logos\CORPORATE LOGOS 2017\CORPORATE LOGOS JPEGS 2017\TT Corporate arc logo white background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357" cy="965243"/>
                    </a:xfrm>
                    <a:prstGeom prst="rect">
                      <a:avLst/>
                    </a:prstGeom>
                    <a:noFill/>
                    <a:ln>
                      <a:noFill/>
                    </a:ln>
                  </pic:spPr>
                </pic:pic>
              </a:graphicData>
            </a:graphic>
          </wp:inline>
        </w:drawing>
      </w:r>
    </w:p>
    <w:p w14:paraId="7D388FBD" w14:textId="3D78131E" w:rsidR="00944F82" w:rsidRDefault="00944F82" w:rsidP="0086479E">
      <w:pPr>
        <w:pStyle w:val="NoSpacing"/>
        <w:rPr>
          <w:b/>
          <w:color w:val="00439E" w:themeColor="accent5" w:themeShade="BF"/>
          <w:sz w:val="32"/>
          <w:szCs w:val="32"/>
        </w:rPr>
      </w:pPr>
      <w:r w:rsidRPr="00944F82">
        <w:rPr>
          <w:b/>
          <w:color w:val="00439E" w:themeColor="accent5" w:themeShade="BF"/>
          <w:sz w:val="32"/>
          <w:szCs w:val="32"/>
        </w:rPr>
        <w:t>Timothy Taylor</w:t>
      </w:r>
      <w:r w:rsidR="00B71244">
        <w:rPr>
          <w:b/>
          <w:color w:val="00439E" w:themeColor="accent5" w:themeShade="BF"/>
          <w:sz w:val="32"/>
          <w:szCs w:val="32"/>
        </w:rPr>
        <w:t xml:space="preserve">’s </w:t>
      </w:r>
    </w:p>
    <w:p w14:paraId="7D388FC1" w14:textId="38028761" w:rsidR="0086479E" w:rsidRDefault="009A021F" w:rsidP="0086479E">
      <w:pPr>
        <w:pStyle w:val="NoSpacing"/>
        <w:rPr>
          <w:b/>
          <w:color w:val="00439E" w:themeColor="accent5" w:themeShade="BF"/>
          <w:sz w:val="32"/>
          <w:szCs w:val="32"/>
        </w:rPr>
      </w:pPr>
      <w:r w:rsidRPr="009A021F">
        <w:rPr>
          <w:b/>
          <w:color w:val="00439E" w:themeColor="accent5" w:themeShade="BF"/>
          <w:sz w:val="32"/>
          <w:szCs w:val="32"/>
        </w:rPr>
        <w:t>Royal Oak, Ripon</w:t>
      </w:r>
    </w:p>
    <w:p w14:paraId="1298A6C1" w14:textId="77777777" w:rsidR="009A021F" w:rsidRDefault="009A021F" w:rsidP="0086479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208"/>
      </w:tblGrid>
      <w:tr w:rsidR="0086479E" w14:paraId="7D388FC6" w14:textId="77777777" w:rsidTr="006A4D68">
        <w:tc>
          <w:tcPr>
            <w:tcW w:w="3936" w:type="dxa"/>
          </w:tcPr>
          <w:p w14:paraId="7D388FC2" w14:textId="6E82A4A0" w:rsidR="0086479E" w:rsidRDefault="0086479E" w:rsidP="00754EE0">
            <w:pPr>
              <w:pStyle w:val="NoSpacing"/>
            </w:pPr>
          </w:p>
        </w:tc>
        <w:tc>
          <w:tcPr>
            <w:tcW w:w="5306" w:type="dxa"/>
          </w:tcPr>
          <w:p w14:paraId="7D388FC5" w14:textId="77777777" w:rsidR="0086479E" w:rsidRDefault="0086479E" w:rsidP="0086479E">
            <w:pPr>
              <w:pStyle w:val="NoSpacing"/>
            </w:pPr>
          </w:p>
        </w:tc>
      </w:tr>
      <w:tr w:rsidR="0086479E" w14:paraId="7D388FD8" w14:textId="77777777" w:rsidTr="006A4D68">
        <w:tc>
          <w:tcPr>
            <w:tcW w:w="3936" w:type="dxa"/>
          </w:tcPr>
          <w:p w14:paraId="7D388FC7" w14:textId="77777777" w:rsidR="0086479E" w:rsidRDefault="0086479E" w:rsidP="004E4A25">
            <w:pPr>
              <w:pStyle w:val="NoSpacing"/>
              <w:rPr>
                <w:b/>
              </w:rPr>
            </w:pPr>
            <w:r w:rsidRPr="0086479E">
              <w:rPr>
                <w:b/>
              </w:rPr>
              <w:t>Location:</w:t>
            </w:r>
          </w:p>
          <w:p w14:paraId="70AB1102" w14:textId="77777777" w:rsidR="009A021F" w:rsidRDefault="009A021F" w:rsidP="002378B1">
            <w:pPr>
              <w:pStyle w:val="NoSpacing"/>
            </w:pPr>
            <w:r>
              <w:t>Royal Oak</w:t>
            </w:r>
          </w:p>
          <w:p w14:paraId="5F3BB045" w14:textId="77777777" w:rsidR="009A021F" w:rsidRDefault="009A021F" w:rsidP="002378B1">
            <w:pPr>
              <w:pStyle w:val="NoSpacing"/>
            </w:pPr>
            <w:r w:rsidRPr="009A021F">
              <w:t>36 Kirkgate</w:t>
            </w:r>
          </w:p>
          <w:p w14:paraId="1576AD52" w14:textId="77777777" w:rsidR="009A021F" w:rsidRDefault="009A021F" w:rsidP="002378B1">
            <w:pPr>
              <w:pStyle w:val="NoSpacing"/>
            </w:pPr>
            <w:r w:rsidRPr="009A021F">
              <w:t>Ripon</w:t>
            </w:r>
          </w:p>
          <w:p w14:paraId="7D388FCF" w14:textId="0C5AE101" w:rsidR="00137BAA" w:rsidRDefault="009A021F" w:rsidP="002378B1">
            <w:pPr>
              <w:pStyle w:val="NoSpacing"/>
            </w:pPr>
            <w:r w:rsidRPr="009A021F">
              <w:t>HG4 1PB</w:t>
            </w:r>
          </w:p>
        </w:tc>
        <w:tc>
          <w:tcPr>
            <w:tcW w:w="5306" w:type="dxa"/>
          </w:tcPr>
          <w:p w14:paraId="7D388FD0" w14:textId="7BFD3EFD" w:rsidR="006A4D68" w:rsidRDefault="006A4D68" w:rsidP="0086479E">
            <w:pPr>
              <w:pStyle w:val="NoSpacing"/>
            </w:pPr>
            <w:r w:rsidRPr="006A4D68">
              <w:rPr>
                <w:b/>
              </w:rPr>
              <w:t>Date:</w:t>
            </w:r>
            <w:r w:rsidR="002052C4">
              <w:rPr>
                <w:b/>
              </w:rPr>
              <w:t xml:space="preserve"> </w:t>
            </w:r>
            <w:r w:rsidR="00754EE0" w:rsidRPr="00137BAA">
              <w:rPr>
                <w:bCs/>
              </w:rPr>
              <w:t xml:space="preserve"> </w:t>
            </w:r>
            <w:r w:rsidR="005D1ACC">
              <w:rPr>
                <w:bCs/>
              </w:rPr>
              <w:t>28</w:t>
            </w:r>
            <w:r w:rsidR="005D1ACC" w:rsidRPr="005D1ACC">
              <w:rPr>
                <w:bCs/>
                <w:vertAlign w:val="superscript"/>
              </w:rPr>
              <w:t>th</w:t>
            </w:r>
            <w:r w:rsidR="005D1ACC">
              <w:rPr>
                <w:bCs/>
              </w:rPr>
              <w:t xml:space="preserve"> April</w:t>
            </w:r>
            <w:r w:rsidR="000D790E">
              <w:rPr>
                <w:bCs/>
              </w:rPr>
              <w:t xml:space="preserve"> 202</w:t>
            </w:r>
            <w:r w:rsidR="00B8320B">
              <w:rPr>
                <w:bCs/>
              </w:rPr>
              <w:t>5</w:t>
            </w:r>
          </w:p>
          <w:p w14:paraId="7D388FD1" w14:textId="77777777" w:rsidR="007878CF" w:rsidRDefault="007878CF" w:rsidP="0086479E">
            <w:pPr>
              <w:pStyle w:val="NoSpacing"/>
              <w:rPr>
                <w:b/>
              </w:rPr>
            </w:pPr>
          </w:p>
          <w:p w14:paraId="7D388FD4" w14:textId="77777777" w:rsidR="00137BAA" w:rsidRDefault="00137BAA" w:rsidP="0086479E">
            <w:pPr>
              <w:pStyle w:val="NoSpacing"/>
              <w:rPr>
                <w:b/>
              </w:rPr>
            </w:pPr>
          </w:p>
          <w:p w14:paraId="7D388FD5" w14:textId="77777777" w:rsidR="00C20E8D" w:rsidRDefault="005A2176" w:rsidP="0086479E">
            <w:pPr>
              <w:pStyle w:val="NoSpacing"/>
            </w:pPr>
            <w:r w:rsidRPr="005A2176">
              <w:rPr>
                <w:b/>
              </w:rPr>
              <w:t>Email</w:t>
            </w:r>
            <w:r w:rsidR="00C20E8D">
              <w:rPr>
                <w:b/>
              </w:rPr>
              <w:t>:</w:t>
            </w:r>
            <w:r>
              <w:t xml:space="preserve"> </w:t>
            </w:r>
          </w:p>
          <w:p w14:paraId="7D388FD6" w14:textId="2EE2FE92" w:rsidR="00C20E8D" w:rsidRDefault="000C687E" w:rsidP="0086479E">
            <w:pPr>
              <w:pStyle w:val="NoSpacing"/>
            </w:pPr>
            <w:hyperlink r:id="rId8" w:history="1">
              <w:r w:rsidRPr="00A271A1">
                <w:rPr>
                  <w:rStyle w:val="Hyperlink"/>
                </w:rPr>
                <w:t>paul.turner@timtaylors.co.uk</w:t>
              </w:r>
            </w:hyperlink>
            <w:r w:rsidR="007878CF">
              <w:t xml:space="preserve"> </w:t>
            </w:r>
          </w:p>
          <w:p w14:paraId="7D388FD7" w14:textId="77777777" w:rsidR="007878CF" w:rsidRDefault="007878CF" w:rsidP="0086479E">
            <w:pPr>
              <w:pStyle w:val="NoSpacing"/>
            </w:pPr>
          </w:p>
        </w:tc>
      </w:tr>
    </w:tbl>
    <w:p w14:paraId="7D388FD9" w14:textId="77777777" w:rsidR="00BC18EB" w:rsidRPr="00137BAA" w:rsidRDefault="006857A2" w:rsidP="0086479E">
      <w:pPr>
        <w:pStyle w:val="NoSpacing"/>
      </w:pPr>
      <w:r>
        <w:rPr>
          <w:noProof/>
        </w:rPr>
        <mc:AlternateContent>
          <mc:Choice Requires="wps">
            <w:drawing>
              <wp:anchor distT="0" distB="0" distL="114300" distR="114300" simplePos="0" relativeHeight="251659264" behindDoc="0" locked="0" layoutInCell="1" allowOverlap="1" wp14:anchorId="7D38900B" wp14:editId="7D38900C">
                <wp:simplePos x="0" y="0"/>
                <wp:positionH relativeFrom="column">
                  <wp:posOffset>-19050</wp:posOffset>
                </wp:positionH>
                <wp:positionV relativeFrom="paragraph">
                  <wp:posOffset>10160</wp:posOffset>
                </wp:positionV>
                <wp:extent cx="3693795" cy="0"/>
                <wp:effectExtent l="0" t="0" r="3683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D818E" id="_x0000_t32" coordsize="21600,21600" o:spt="32" o:oned="t" path="m,l21600,21600e" filled="f">
                <v:path arrowok="t" fillok="f" o:connecttype="none"/>
                <o:lock v:ext="edit" shapetype="t"/>
              </v:shapetype>
              <v:shape id="AutoShape 2" o:spid="_x0000_s1026" type="#_x0000_t32" style="position:absolute;margin-left:-1.5pt;margin-top:.8pt;width:29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eqzAEAAHwDAAAOAAAAZHJzL2Uyb0RvYy54bWysU8Fu2zAMvQ/YPwi6L05SpFuMOMWQrrt0&#10;W4B2H8BIsi1MFgVKiZO/H6UmWbfdhvkgUCLfI/lIr+6OgxMHQ9Gib+RsMpXCeIXa+q6R358f3n2Q&#10;IibwGhx608iTifJu/fbNagy1mWOPThsSTOJjPYZG9imFuqqi6s0AcYLBeHa2SAMkvlJXaYKR2QdX&#10;zafT22pE0oFQmRj59f7FKdeFv22NSt/aNpokXCO5tlROKucun9V6BXVHEHqrzmXAP1QxgPWc9Ep1&#10;DwnEnuxfVINVhBHbNFE4VNi2VpnSA3czm/7RzVMPwZReWJwYrjLF/0ervh62JKxu5FwKDwOP6OM+&#10;Ycks5lmeMcSaozZ+S7lBdfRP4RHVjyg8bnrwnSnBz6fA2FlGVL9B8iUGTrIbv6DmGGD+otWxpSFT&#10;sgriWEZyuo7EHJNQ/Hhzu7x5v1xIoS6+CuoLMFBMnw0OIhuNjInAdn3aoPc8eKRZSQOHx5hyWVBf&#10;ADmrxwfrXJm/82Js5HIxXxRARGd1duawSN1u40gcIG9Q+UqP7HkdRrj3upD1BvSns53Auhebkzt/&#10;liar8aLrDvVpSxfJeMSlyvM65h16fS/oXz/N+icAAAD//wMAUEsDBBQABgAIAAAAIQAMxPfx3AAA&#10;AAYBAAAPAAAAZHJzL2Rvd25yZXYueG1sTI/NTsMwEITvSLyDtUhcUOu0qD+kcaoKiQNH2kpct/E2&#10;CcTrKHaa0Kdn4QLH2VnNfJNtR9eoC3Wh9mxgNk1AERfe1lwaOB5eJmtQISJbbDyTgS8KsM1vbzJM&#10;rR/4jS77WCoJ4ZCigSrGNtU6FBU5DFPfEot39p3DKLIrte1wkHDX6HmSLLXDmqWhwpaeKyo+970z&#10;QKFfzJLdkyuPr9fh4X1+/RjagzH3d+NuAyrSGP+e4Qdf0CEXppPv2QbVGJg8ypQo9yUosRer9QrU&#10;6VfrPNP/8fNvAAAA//8DAFBLAQItABQABgAIAAAAIQC2gziS/gAAAOEBAAATAAAAAAAAAAAAAAAA&#10;AAAAAABbQ29udGVudF9UeXBlc10ueG1sUEsBAi0AFAAGAAgAAAAhADj9If/WAAAAlAEAAAsAAAAA&#10;AAAAAAAAAAAALwEAAF9yZWxzLy5yZWxzUEsBAi0AFAAGAAgAAAAhADN4d6rMAQAAfAMAAA4AAAAA&#10;AAAAAAAAAAAALgIAAGRycy9lMm9Eb2MueG1sUEsBAi0AFAAGAAgAAAAhAAzE9/HcAAAABgEAAA8A&#10;AAAAAAAAAAAAAAAAJgQAAGRycy9kb3ducmV2LnhtbFBLBQYAAAAABAAEAPMAAAAvBQAAAAA=&#10;"/>
            </w:pict>
          </mc:Fallback>
        </mc:AlternateContent>
      </w:r>
    </w:p>
    <w:p w14:paraId="363F1E6D" w14:textId="1698B047" w:rsidR="00C60D56" w:rsidRPr="005D0127" w:rsidRDefault="005D0127" w:rsidP="00FC3742">
      <w:pPr>
        <w:pStyle w:val="NoSpacing"/>
      </w:pPr>
      <w:r w:rsidRPr="005D0127">
        <w:t>Timothy Taylor’s is one of the UK’s oldest family-owned breweries with over 160 years’ heritage of brewing award-winning ales, with their Landlord winning more awards than any other beer, winning both CAMRA Champion Beer of Britain and the Brewing Industry Awards Gold Medal four times. Established in 1858 when Timothy Taylor began brewing in Keighley, the company remains in the family and is the last independent brewery of its type left in West Yorkshire.</w:t>
      </w:r>
    </w:p>
    <w:p w14:paraId="31FA6BFB" w14:textId="77777777" w:rsidR="005D0127" w:rsidRPr="00C60D56" w:rsidRDefault="005D0127" w:rsidP="00FC3742">
      <w:pPr>
        <w:pStyle w:val="NoSpacing"/>
        <w:rPr>
          <w:color w:val="FF0000"/>
        </w:rPr>
      </w:pPr>
    </w:p>
    <w:p w14:paraId="43353148" w14:textId="4EE0D646" w:rsidR="00B8320B" w:rsidRDefault="00FC3742" w:rsidP="00FC3742">
      <w:pPr>
        <w:pStyle w:val="NoSpacing"/>
      </w:pPr>
      <w:r>
        <w:t xml:space="preserve">A fantastic opportunity has arisen within the Timothy Taylor’s Pub Estate. We are looking for enthusiastic and experienced operators to take on the new tenancy agreement at </w:t>
      </w:r>
      <w:r w:rsidR="009A021F">
        <w:t xml:space="preserve">the </w:t>
      </w:r>
      <w:r w:rsidR="009A021F" w:rsidRPr="009A021F">
        <w:t>Royal Oak</w:t>
      </w:r>
      <w:r w:rsidR="009A021F">
        <w:t xml:space="preserve"> in</w:t>
      </w:r>
      <w:r w:rsidR="009A021F" w:rsidRPr="009A021F">
        <w:t xml:space="preserve"> Ripon</w:t>
      </w:r>
      <w:r w:rsidR="009A021F">
        <w:t>.</w:t>
      </w:r>
    </w:p>
    <w:p w14:paraId="16229BDD" w14:textId="77777777" w:rsidR="009A021F" w:rsidRDefault="009A021F" w:rsidP="00FC3742">
      <w:pPr>
        <w:pStyle w:val="NoSpacing"/>
      </w:pPr>
    </w:p>
    <w:p w14:paraId="16DF3285" w14:textId="77777777" w:rsidR="00FC3742" w:rsidRDefault="00FC3742" w:rsidP="00FC3742">
      <w:pPr>
        <w:pStyle w:val="NoSpacing"/>
        <w:rPr>
          <w:b/>
          <w:bCs/>
        </w:rPr>
      </w:pPr>
      <w:r w:rsidRPr="00D27AB3">
        <w:rPr>
          <w:b/>
          <w:bCs/>
        </w:rPr>
        <w:t>Property Details:</w:t>
      </w:r>
    </w:p>
    <w:p w14:paraId="0BA1E86B" w14:textId="77777777" w:rsidR="00FC3742" w:rsidRPr="00D27AB3" w:rsidRDefault="00FC3742" w:rsidP="00FC3742">
      <w:pPr>
        <w:pStyle w:val="NoSpacing"/>
        <w:rPr>
          <w:b/>
          <w:bCs/>
        </w:rPr>
      </w:pPr>
    </w:p>
    <w:p w14:paraId="3594A186" w14:textId="5BFCB851" w:rsidR="00B8320B" w:rsidRDefault="009A021F" w:rsidP="00C60D56">
      <w:pPr>
        <w:pStyle w:val="NoSpacing"/>
      </w:pPr>
      <w:r w:rsidRPr="009A021F">
        <w:t>T</w:t>
      </w:r>
      <w:r w:rsidR="00C60D56">
        <w:t xml:space="preserve">he Royal Oak is an </w:t>
      </w:r>
      <w:r w:rsidRPr="009A021F">
        <w:t xml:space="preserve">18th-century coaching inn </w:t>
      </w:r>
      <w:r w:rsidR="00C60D56">
        <w:t xml:space="preserve">situated just of the main square of the historic market town of Ripon. </w:t>
      </w:r>
    </w:p>
    <w:p w14:paraId="3F731290" w14:textId="1EEBD202" w:rsidR="00C60D56" w:rsidRDefault="00C60D56" w:rsidP="00C60D56">
      <w:pPr>
        <w:pStyle w:val="NoSpacing"/>
      </w:pPr>
      <w:r>
        <w:t>The pub is well supported by local customers as well as visitors to the area.</w:t>
      </w:r>
    </w:p>
    <w:p w14:paraId="6ECB3E5C" w14:textId="15A5414E" w:rsidR="00C60D56" w:rsidRDefault="00C60D56" w:rsidP="00C60D56">
      <w:pPr>
        <w:pStyle w:val="NoSpacing"/>
      </w:pPr>
      <w:r>
        <w:t>There are 8 guest letting bedrooms</w:t>
      </w:r>
    </w:p>
    <w:p w14:paraId="4B0C9D81" w14:textId="77777777" w:rsidR="009A021F" w:rsidRDefault="009A021F" w:rsidP="00FC3742">
      <w:pPr>
        <w:pStyle w:val="NoSpacing"/>
      </w:pPr>
    </w:p>
    <w:p w14:paraId="2C964A16" w14:textId="77777777" w:rsidR="00FC3742" w:rsidRPr="00137BAA" w:rsidRDefault="00FC3742" w:rsidP="00FC3742">
      <w:pPr>
        <w:pStyle w:val="NoSpacing"/>
      </w:pPr>
      <w:r w:rsidRPr="00D27AB3">
        <w:rPr>
          <w:b/>
          <w:bCs/>
        </w:rPr>
        <w:t>Trading Style:</w:t>
      </w:r>
    </w:p>
    <w:p w14:paraId="1CA4E8F7" w14:textId="77777777" w:rsidR="00FC3742" w:rsidRDefault="00FC3742" w:rsidP="00FC3742">
      <w:pPr>
        <w:pStyle w:val="NoSpacing"/>
        <w:rPr>
          <w:b/>
          <w:bCs/>
        </w:rPr>
      </w:pPr>
    </w:p>
    <w:p w14:paraId="1B7EAA70" w14:textId="21D22F72" w:rsidR="00FC3742" w:rsidRPr="005D0127" w:rsidRDefault="00FC3742" w:rsidP="00FC3742">
      <w:pPr>
        <w:pStyle w:val="NoSpacing"/>
      </w:pPr>
      <w:r w:rsidRPr="005D0127">
        <w:t>The trading area consists of a bar servery, dining and drinking areas</w:t>
      </w:r>
      <w:r w:rsidR="00305120" w:rsidRPr="005D0127">
        <w:t xml:space="preserve"> and an outside </w:t>
      </w:r>
      <w:r w:rsidR="00C664CC" w:rsidRPr="005D0127">
        <w:t>trading area to the rear.</w:t>
      </w:r>
    </w:p>
    <w:p w14:paraId="25C5C044" w14:textId="77777777" w:rsidR="00D205C4" w:rsidRPr="005D0127" w:rsidRDefault="00D205C4" w:rsidP="00FC3742">
      <w:pPr>
        <w:pStyle w:val="NoSpacing"/>
      </w:pPr>
    </w:p>
    <w:p w14:paraId="655D5DA2" w14:textId="1E9AE004" w:rsidR="00FC3742" w:rsidRPr="005D0127" w:rsidRDefault="00C60D56" w:rsidP="00FC3742">
      <w:pPr>
        <w:pStyle w:val="NoSpacing"/>
      </w:pPr>
      <w:r w:rsidRPr="005D0127">
        <w:t xml:space="preserve">The pub stocks a wide range of our award-winning cask ales alongside other premium products. </w:t>
      </w:r>
      <w:r w:rsidR="00FC3742" w:rsidRPr="005D0127">
        <w:t>Tenants are free-of-tie on wines, spirits, soft drinks, and bottles (other than our own beers).</w:t>
      </w:r>
    </w:p>
    <w:p w14:paraId="49DDEC9D" w14:textId="77777777" w:rsidR="00FC3742" w:rsidRPr="005D0127" w:rsidRDefault="00FC3742" w:rsidP="00FC3742">
      <w:pPr>
        <w:pStyle w:val="NoSpacing"/>
      </w:pPr>
    </w:p>
    <w:p w14:paraId="61CB17ED" w14:textId="77777777" w:rsidR="00FC3742" w:rsidRPr="005D0127" w:rsidRDefault="00FC3742" w:rsidP="00FC3742">
      <w:pPr>
        <w:pStyle w:val="NoSpacing"/>
      </w:pPr>
      <w:r w:rsidRPr="005D0127">
        <w:t>A well-appointed catering kitchen is on the first floor with a dumb waiter to deliver food to the ground floor trading area.</w:t>
      </w:r>
    </w:p>
    <w:p w14:paraId="4761D795" w14:textId="77777777" w:rsidR="00FC3742" w:rsidRPr="005D0127" w:rsidRDefault="00FC3742" w:rsidP="00FC3742">
      <w:pPr>
        <w:pStyle w:val="NoSpacing"/>
      </w:pPr>
    </w:p>
    <w:p w14:paraId="0F984BF8" w14:textId="63C3E211" w:rsidR="00FC3742" w:rsidRPr="005D0127" w:rsidRDefault="00FC3742" w:rsidP="00FC3742">
      <w:pPr>
        <w:pStyle w:val="NoSpacing"/>
      </w:pPr>
      <w:r w:rsidRPr="005D0127">
        <w:t xml:space="preserve">Private accommodation compromising a fitted kitchen, bathroom with separate shower, lounge and two double bedrooms and </w:t>
      </w:r>
      <w:r w:rsidR="0025174D" w:rsidRPr="005D0127">
        <w:t>is accessible via the pub.</w:t>
      </w:r>
    </w:p>
    <w:p w14:paraId="7D388FF3" w14:textId="77777777" w:rsidR="003975CA" w:rsidRPr="005D0127" w:rsidRDefault="003975CA" w:rsidP="00D27AB3">
      <w:pPr>
        <w:pStyle w:val="NoSpacing"/>
        <w:jc w:val="both"/>
      </w:pPr>
    </w:p>
    <w:p w14:paraId="7D388FF4" w14:textId="77777777" w:rsidR="00D27AB3" w:rsidRPr="005D0127" w:rsidRDefault="00D27AB3" w:rsidP="00D27AB3">
      <w:pPr>
        <w:pStyle w:val="NoSpacing"/>
        <w:jc w:val="both"/>
        <w:rPr>
          <w:b/>
          <w:bCs/>
        </w:rPr>
      </w:pPr>
      <w:r w:rsidRPr="005D0127">
        <w:rPr>
          <w:b/>
          <w:bCs/>
        </w:rPr>
        <w:t>Applicant Profile:</w:t>
      </w:r>
    </w:p>
    <w:p w14:paraId="7D388FF5" w14:textId="77777777" w:rsidR="00BE774A" w:rsidRPr="005D0127" w:rsidRDefault="00BE774A" w:rsidP="00D27AB3">
      <w:pPr>
        <w:pStyle w:val="NoSpacing"/>
        <w:jc w:val="both"/>
        <w:rPr>
          <w:b/>
          <w:bCs/>
        </w:rPr>
      </w:pPr>
    </w:p>
    <w:p w14:paraId="782A1432" w14:textId="5CE76609" w:rsidR="00C60D56" w:rsidRPr="005D0127" w:rsidRDefault="00C60D56" w:rsidP="00C60D56">
      <w:pPr>
        <w:pStyle w:val="NoSpacing"/>
        <w:jc w:val="both"/>
        <w:rPr>
          <w:b/>
          <w:bCs/>
        </w:rPr>
      </w:pPr>
      <w:r w:rsidRPr="005D0127">
        <w:lastRenderedPageBreak/>
        <w:t xml:space="preserve">The business has a current annual turnover </w:t>
      </w:r>
      <w:proofErr w:type="gramStart"/>
      <w:r w:rsidRPr="005D0127">
        <w:t>in excess of</w:t>
      </w:r>
      <w:proofErr w:type="gramEnd"/>
      <w:r w:rsidRPr="005D0127">
        <w:t xml:space="preserve"> £1m and due to the complexities of managing the three income streams we are looking for an experienced operator/s to become our partners in this </w:t>
      </w:r>
      <w:proofErr w:type="gramStart"/>
      <w:r w:rsidRPr="005D0127">
        <w:t>high profile</w:t>
      </w:r>
      <w:proofErr w:type="gramEnd"/>
      <w:r w:rsidRPr="005D0127">
        <w:t xml:space="preserve"> venture.</w:t>
      </w:r>
    </w:p>
    <w:p w14:paraId="7D388FF7" w14:textId="1772F644" w:rsidR="00B846A1" w:rsidRPr="005D0127" w:rsidRDefault="00B846A1" w:rsidP="006900CD">
      <w:pPr>
        <w:pStyle w:val="NoSpacing"/>
        <w:jc w:val="both"/>
      </w:pPr>
    </w:p>
    <w:p w14:paraId="465763DD" w14:textId="77777777" w:rsidR="00FF5F91" w:rsidRPr="005D0127" w:rsidRDefault="00FF5F91" w:rsidP="00FF5F91">
      <w:pPr>
        <w:pStyle w:val="NoSpacing"/>
        <w:jc w:val="both"/>
        <w:rPr>
          <w:b/>
          <w:bCs/>
        </w:rPr>
      </w:pPr>
      <w:r w:rsidRPr="005D0127">
        <w:rPr>
          <w:b/>
          <w:bCs/>
        </w:rPr>
        <w:t>Financials and Tenure:</w:t>
      </w:r>
    </w:p>
    <w:p w14:paraId="219EE396" w14:textId="77777777" w:rsidR="00FF5F91" w:rsidRPr="005D0127" w:rsidRDefault="00FF5F91" w:rsidP="00FF5F91">
      <w:pPr>
        <w:pStyle w:val="NoSpacing"/>
        <w:jc w:val="both"/>
        <w:rPr>
          <w:b/>
          <w:bCs/>
        </w:rPr>
      </w:pPr>
    </w:p>
    <w:p w14:paraId="678DC436" w14:textId="77777777" w:rsidR="00FF5F91" w:rsidRPr="005D0127" w:rsidRDefault="00FF5F91" w:rsidP="00FF5F91">
      <w:pPr>
        <w:pStyle w:val="NoSpacing"/>
        <w:numPr>
          <w:ilvl w:val="0"/>
          <w:numId w:val="4"/>
        </w:numPr>
        <w:jc w:val="both"/>
        <w:rPr>
          <w:b/>
          <w:bCs/>
        </w:rPr>
      </w:pPr>
      <w:r w:rsidRPr="005D0127">
        <w:t xml:space="preserve">Agreement type: </w:t>
      </w:r>
      <w:r w:rsidRPr="005D0127">
        <w:rPr>
          <w:b/>
          <w:bCs/>
        </w:rPr>
        <w:t>Tenancy</w:t>
      </w:r>
    </w:p>
    <w:p w14:paraId="44AD39D6" w14:textId="70436A5B" w:rsidR="00FF5F91" w:rsidRPr="005D0127" w:rsidRDefault="00FF5F91" w:rsidP="00FF5F91">
      <w:pPr>
        <w:pStyle w:val="NoSpacing"/>
        <w:numPr>
          <w:ilvl w:val="0"/>
          <w:numId w:val="4"/>
        </w:numPr>
        <w:jc w:val="both"/>
      </w:pPr>
      <w:r w:rsidRPr="005D0127">
        <w:t xml:space="preserve">Length of Tenure: </w:t>
      </w:r>
      <w:r w:rsidR="000D790E" w:rsidRPr="005D0127">
        <w:rPr>
          <w:b/>
          <w:bCs/>
        </w:rPr>
        <w:t>3</w:t>
      </w:r>
      <w:r w:rsidRPr="005D0127">
        <w:rPr>
          <w:b/>
          <w:bCs/>
        </w:rPr>
        <w:t xml:space="preserve"> </w:t>
      </w:r>
      <w:r w:rsidR="00107FC4" w:rsidRPr="005D0127">
        <w:rPr>
          <w:b/>
          <w:bCs/>
        </w:rPr>
        <w:t xml:space="preserve">or 5 </w:t>
      </w:r>
      <w:r w:rsidRPr="005D0127">
        <w:rPr>
          <w:b/>
          <w:bCs/>
        </w:rPr>
        <w:t>years</w:t>
      </w:r>
    </w:p>
    <w:p w14:paraId="4490A800" w14:textId="71C6973E" w:rsidR="00FF5F91" w:rsidRPr="005D0127" w:rsidRDefault="00FF5F91" w:rsidP="00FF5F91">
      <w:pPr>
        <w:pStyle w:val="NoSpacing"/>
        <w:numPr>
          <w:ilvl w:val="0"/>
          <w:numId w:val="4"/>
        </w:numPr>
        <w:jc w:val="both"/>
      </w:pPr>
      <w:r w:rsidRPr="005D0127">
        <w:t xml:space="preserve">Rent: </w:t>
      </w:r>
      <w:r w:rsidRPr="005D0127">
        <w:rPr>
          <w:b/>
          <w:bCs/>
        </w:rPr>
        <w:t>£</w:t>
      </w:r>
      <w:r w:rsidR="0025174D" w:rsidRPr="005D0127">
        <w:rPr>
          <w:b/>
          <w:bCs/>
        </w:rPr>
        <w:t>TBA</w:t>
      </w:r>
    </w:p>
    <w:p w14:paraId="7C89D8FE" w14:textId="77777777" w:rsidR="00FF5F91" w:rsidRPr="005D0127" w:rsidRDefault="00FF5F91" w:rsidP="00FF5F91">
      <w:pPr>
        <w:pStyle w:val="NoSpacing"/>
        <w:numPr>
          <w:ilvl w:val="0"/>
          <w:numId w:val="4"/>
        </w:numPr>
        <w:jc w:val="both"/>
      </w:pPr>
      <w:r w:rsidRPr="005D0127">
        <w:t>Tie: All draught products and Timothy Taylor’s own bottled beers must be purchased from the brewery. All other products can be purchased from your own choice of supplier.</w:t>
      </w:r>
    </w:p>
    <w:p w14:paraId="4F56960A" w14:textId="27282372" w:rsidR="00FF5F91" w:rsidRPr="005D0127" w:rsidRDefault="00FF5F91" w:rsidP="00FF5F91">
      <w:pPr>
        <w:pStyle w:val="NoSpacing"/>
        <w:numPr>
          <w:ilvl w:val="0"/>
          <w:numId w:val="4"/>
        </w:numPr>
        <w:jc w:val="both"/>
        <w:rPr>
          <w:b/>
          <w:bCs/>
        </w:rPr>
      </w:pPr>
      <w:proofErr w:type="spellStart"/>
      <w:r w:rsidRPr="005D0127">
        <w:t>Ingoings</w:t>
      </w:r>
      <w:proofErr w:type="spellEnd"/>
      <w:r w:rsidRPr="005D0127">
        <w:t xml:space="preserve">: </w:t>
      </w:r>
    </w:p>
    <w:p w14:paraId="47C6CA96" w14:textId="77777777" w:rsidR="00FF5F91" w:rsidRPr="005D0127" w:rsidRDefault="00FF5F91" w:rsidP="00FF5F91">
      <w:pPr>
        <w:pStyle w:val="NoSpacing"/>
        <w:numPr>
          <w:ilvl w:val="1"/>
          <w:numId w:val="4"/>
        </w:numPr>
        <w:jc w:val="both"/>
        <w:rPr>
          <w:b/>
          <w:bCs/>
        </w:rPr>
      </w:pPr>
      <w:r w:rsidRPr="005D0127">
        <w:rPr>
          <w:b/>
          <w:bCs/>
        </w:rPr>
        <w:t xml:space="preserve">Bond </w:t>
      </w:r>
      <w:r w:rsidRPr="005D0127">
        <w:rPr>
          <w:b/>
          <w:bCs/>
        </w:rPr>
        <w:tab/>
      </w:r>
      <w:r w:rsidRPr="005D0127">
        <w:rPr>
          <w:b/>
          <w:bCs/>
        </w:rPr>
        <w:tab/>
      </w:r>
      <w:r w:rsidRPr="005D0127">
        <w:rPr>
          <w:b/>
          <w:bCs/>
        </w:rPr>
        <w:tab/>
      </w:r>
      <w:r w:rsidRPr="005D0127">
        <w:rPr>
          <w:b/>
          <w:bCs/>
        </w:rPr>
        <w:tab/>
        <w:t>£5,000</w:t>
      </w:r>
    </w:p>
    <w:p w14:paraId="3056A4E0" w14:textId="57F2EAA8" w:rsidR="00FF5F91" w:rsidRPr="005D0127" w:rsidRDefault="00FF5F91" w:rsidP="00FF5F91">
      <w:pPr>
        <w:pStyle w:val="NoSpacing"/>
        <w:numPr>
          <w:ilvl w:val="1"/>
          <w:numId w:val="4"/>
        </w:numPr>
        <w:jc w:val="both"/>
        <w:rPr>
          <w:b/>
          <w:bCs/>
        </w:rPr>
      </w:pPr>
      <w:r w:rsidRPr="005D0127">
        <w:rPr>
          <w:b/>
          <w:bCs/>
        </w:rPr>
        <w:t>Legal Fees</w:t>
      </w:r>
      <w:r w:rsidRPr="005D0127">
        <w:rPr>
          <w:b/>
          <w:bCs/>
        </w:rPr>
        <w:tab/>
      </w:r>
      <w:r w:rsidRPr="005D0127">
        <w:rPr>
          <w:b/>
          <w:bCs/>
        </w:rPr>
        <w:tab/>
      </w:r>
      <w:r w:rsidRPr="005D0127">
        <w:rPr>
          <w:b/>
          <w:bCs/>
        </w:rPr>
        <w:tab/>
        <w:t>£</w:t>
      </w:r>
      <w:r w:rsidR="0087690E" w:rsidRPr="005D0127">
        <w:rPr>
          <w:b/>
          <w:bCs/>
        </w:rPr>
        <w:t>2</w:t>
      </w:r>
      <w:r w:rsidRPr="005D0127">
        <w:rPr>
          <w:b/>
          <w:bCs/>
        </w:rPr>
        <w:t>,000</w:t>
      </w:r>
    </w:p>
    <w:p w14:paraId="06FFEAB0" w14:textId="5005F3DE" w:rsidR="00FF5F91" w:rsidRPr="005D0127" w:rsidRDefault="00FF5F91" w:rsidP="00FF5F91">
      <w:pPr>
        <w:pStyle w:val="NoSpacing"/>
        <w:numPr>
          <w:ilvl w:val="1"/>
          <w:numId w:val="4"/>
        </w:numPr>
        <w:jc w:val="both"/>
        <w:rPr>
          <w:b/>
          <w:bCs/>
        </w:rPr>
      </w:pPr>
      <w:r w:rsidRPr="005D0127">
        <w:rPr>
          <w:b/>
          <w:bCs/>
        </w:rPr>
        <w:t xml:space="preserve">Stock &amp; </w:t>
      </w:r>
      <w:r w:rsidR="00204F67" w:rsidRPr="005D0127">
        <w:rPr>
          <w:b/>
          <w:bCs/>
        </w:rPr>
        <w:t>Glassware</w:t>
      </w:r>
      <w:r w:rsidRPr="005D0127">
        <w:rPr>
          <w:b/>
          <w:bCs/>
        </w:rPr>
        <w:tab/>
      </w:r>
      <w:r w:rsidRPr="005D0127">
        <w:rPr>
          <w:b/>
          <w:bCs/>
        </w:rPr>
        <w:tab/>
        <w:t>£</w:t>
      </w:r>
      <w:r w:rsidR="005D0127" w:rsidRPr="005D0127">
        <w:rPr>
          <w:b/>
          <w:bCs/>
        </w:rPr>
        <w:t>10</w:t>
      </w:r>
      <w:r w:rsidRPr="005D0127">
        <w:rPr>
          <w:b/>
          <w:bCs/>
        </w:rPr>
        <w:t>,000</w:t>
      </w:r>
    </w:p>
    <w:p w14:paraId="22DB1617" w14:textId="77777777" w:rsidR="00FF5F91" w:rsidRPr="005D0127" w:rsidRDefault="00FF5F91" w:rsidP="00FF5F91">
      <w:pPr>
        <w:pStyle w:val="NoSpacing"/>
        <w:numPr>
          <w:ilvl w:val="1"/>
          <w:numId w:val="4"/>
        </w:numPr>
        <w:jc w:val="both"/>
        <w:rPr>
          <w:b/>
          <w:bCs/>
        </w:rPr>
      </w:pPr>
      <w:r w:rsidRPr="005D0127">
        <w:rPr>
          <w:b/>
          <w:bCs/>
        </w:rPr>
        <w:t>Working Capital</w:t>
      </w:r>
      <w:r w:rsidRPr="005D0127">
        <w:rPr>
          <w:b/>
          <w:bCs/>
        </w:rPr>
        <w:tab/>
      </w:r>
      <w:r w:rsidRPr="005D0127">
        <w:rPr>
          <w:b/>
          <w:bCs/>
        </w:rPr>
        <w:tab/>
        <w:t>£10,000</w:t>
      </w:r>
    </w:p>
    <w:p w14:paraId="49EB3404" w14:textId="07686F72" w:rsidR="00FF5F91" w:rsidRPr="005D0127" w:rsidRDefault="00FF5F91" w:rsidP="00FF5F91">
      <w:pPr>
        <w:pStyle w:val="NoSpacing"/>
        <w:numPr>
          <w:ilvl w:val="1"/>
          <w:numId w:val="4"/>
        </w:numPr>
        <w:jc w:val="both"/>
        <w:rPr>
          <w:b/>
          <w:bCs/>
        </w:rPr>
      </w:pPr>
      <w:r w:rsidRPr="005D0127">
        <w:rPr>
          <w:b/>
          <w:bCs/>
        </w:rPr>
        <w:t>Fixtures and Fittings</w:t>
      </w:r>
      <w:r w:rsidRPr="005D0127">
        <w:rPr>
          <w:b/>
          <w:bCs/>
        </w:rPr>
        <w:tab/>
      </w:r>
      <w:r w:rsidR="00204F67" w:rsidRPr="005D0127">
        <w:rPr>
          <w:b/>
          <w:bCs/>
        </w:rPr>
        <w:t xml:space="preserve">Approx. </w:t>
      </w:r>
      <w:r w:rsidRPr="005D0127">
        <w:rPr>
          <w:b/>
          <w:bCs/>
        </w:rPr>
        <w:t>£</w:t>
      </w:r>
      <w:r w:rsidR="0087690E" w:rsidRPr="005D0127">
        <w:rPr>
          <w:b/>
          <w:bCs/>
        </w:rPr>
        <w:t>50</w:t>
      </w:r>
      <w:r w:rsidRPr="005D0127">
        <w:rPr>
          <w:b/>
          <w:bCs/>
        </w:rPr>
        <w:t xml:space="preserve">,000 </w:t>
      </w:r>
      <w:r w:rsidR="00204F67" w:rsidRPr="005D0127">
        <w:rPr>
          <w:b/>
          <w:bCs/>
        </w:rPr>
        <w:t>(TBC)</w:t>
      </w:r>
    </w:p>
    <w:p w14:paraId="5F37581D" w14:textId="77777777" w:rsidR="00FF5F91" w:rsidRDefault="00FF5F91" w:rsidP="00FF5F91">
      <w:pPr>
        <w:pStyle w:val="NoSpacing"/>
        <w:ind w:left="720"/>
        <w:jc w:val="both"/>
        <w:rPr>
          <w:b/>
          <w:bCs/>
        </w:rPr>
      </w:pPr>
    </w:p>
    <w:p w14:paraId="57EE5A00" w14:textId="25309D0F" w:rsidR="00FC3742" w:rsidRDefault="00FC3742" w:rsidP="00FC3742">
      <w:pPr>
        <w:pStyle w:val="NoSpacing"/>
      </w:pPr>
      <w:r w:rsidRPr="0040734B">
        <w:t xml:space="preserve">The fixtures and fittings value </w:t>
      </w:r>
      <w:proofErr w:type="gramStart"/>
      <w:r w:rsidRPr="0040734B">
        <w:t>is</w:t>
      </w:r>
      <w:proofErr w:type="gramEnd"/>
      <w:r w:rsidRPr="0040734B">
        <w:t xml:space="preserve"> </w:t>
      </w:r>
      <w:r>
        <w:t>an estimate</w:t>
      </w:r>
      <w:r w:rsidRPr="0040734B">
        <w:t xml:space="preserve"> and will be </w:t>
      </w:r>
      <w:r>
        <w:t>finalised</w:t>
      </w:r>
      <w:r w:rsidRPr="0040734B">
        <w:t xml:space="preserve"> upon entry</w:t>
      </w:r>
      <w:r>
        <w:t>.</w:t>
      </w:r>
      <w:r w:rsidRPr="0040734B">
        <w:t xml:space="preserve"> </w:t>
      </w:r>
    </w:p>
    <w:p w14:paraId="672A84E1" w14:textId="77777777" w:rsidR="00C60D56" w:rsidRDefault="00C60D56" w:rsidP="00FC3742">
      <w:pPr>
        <w:pStyle w:val="NoSpacing"/>
        <w:rPr>
          <w:b/>
          <w:bCs/>
        </w:rPr>
      </w:pPr>
    </w:p>
    <w:p w14:paraId="6DFFA191" w14:textId="77777777" w:rsidR="00FC3742" w:rsidRDefault="00FC3742" w:rsidP="00FC3742">
      <w:pPr>
        <w:pStyle w:val="NoSpacing"/>
        <w:rPr>
          <w:b/>
          <w:bCs/>
        </w:rPr>
      </w:pPr>
      <w:r>
        <w:rPr>
          <w:b/>
          <w:bCs/>
        </w:rPr>
        <w:t>How to Apply:</w:t>
      </w:r>
    </w:p>
    <w:p w14:paraId="02E62347" w14:textId="77777777" w:rsidR="00FC3742" w:rsidRPr="002B3CDF" w:rsidRDefault="00FC3742" w:rsidP="00FC3742">
      <w:pPr>
        <w:pStyle w:val="NoSpacing"/>
        <w:rPr>
          <w:b/>
          <w:bCs/>
        </w:rPr>
      </w:pPr>
    </w:p>
    <w:p w14:paraId="51E407F9" w14:textId="77777777" w:rsidR="00FC3742" w:rsidRPr="0040734B" w:rsidRDefault="00FC3742" w:rsidP="00FC3742">
      <w:pPr>
        <w:pStyle w:val="NoSpacing"/>
      </w:pPr>
      <w:r>
        <w:t xml:space="preserve">To register your interest, or for further information, please contact Timothy Taylor’s </w:t>
      </w:r>
      <w:r w:rsidRPr="007F2DDA">
        <w:t xml:space="preserve">Estate Operations Director, Paul Turner, by email </w:t>
      </w:r>
      <w:hyperlink r:id="rId9" w:history="1">
        <w:r w:rsidRPr="007F2DDA">
          <w:rPr>
            <w:rStyle w:val="Hyperlink"/>
          </w:rPr>
          <w:t>paul.turner@timtaylors.co.uk</w:t>
        </w:r>
      </w:hyperlink>
      <w:r w:rsidRPr="007F2DDA">
        <w:t xml:space="preserve"> </w:t>
      </w:r>
      <w:r w:rsidRPr="007F2DDA">
        <w:rPr>
          <w:rStyle w:val="Hyperlink"/>
          <w:color w:val="auto"/>
          <w:u w:val="none"/>
        </w:rPr>
        <w:t>or call 07918 174 998</w:t>
      </w:r>
      <w:r w:rsidRPr="007F2DDA">
        <w:t>.</w:t>
      </w:r>
    </w:p>
    <w:p w14:paraId="3412C99B" w14:textId="77777777" w:rsidR="00FC3742" w:rsidRDefault="00FC3742" w:rsidP="00FC3742">
      <w:pPr>
        <w:pStyle w:val="NoSpacing"/>
      </w:pPr>
    </w:p>
    <w:p w14:paraId="4FCD0A3C" w14:textId="77777777" w:rsidR="00FC3742" w:rsidRDefault="00FC3742" w:rsidP="00FC3742">
      <w:pPr>
        <w:pStyle w:val="NoSpacing"/>
      </w:pPr>
      <w:r>
        <w:t>Alternatively write to us at:</w:t>
      </w:r>
    </w:p>
    <w:p w14:paraId="080E9237" w14:textId="77777777" w:rsidR="00FC3742" w:rsidRDefault="00FC3742" w:rsidP="00FC3742">
      <w:pPr>
        <w:pStyle w:val="NoSpacing"/>
      </w:pPr>
    </w:p>
    <w:p w14:paraId="320C0978" w14:textId="77777777" w:rsidR="00FC3742" w:rsidRDefault="00FC3742" w:rsidP="00FC3742">
      <w:pPr>
        <w:pStyle w:val="NoSpacing"/>
      </w:pPr>
      <w:r>
        <w:t>Paul Turner</w:t>
      </w:r>
    </w:p>
    <w:p w14:paraId="12D410FF" w14:textId="77777777" w:rsidR="00FC3742" w:rsidRDefault="00FC3742" w:rsidP="00FC3742">
      <w:pPr>
        <w:pStyle w:val="NoSpacing"/>
      </w:pPr>
      <w:r>
        <w:t>Estate Operations Director</w:t>
      </w:r>
    </w:p>
    <w:p w14:paraId="6C9CB64A" w14:textId="77777777" w:rsidR="00FC3742" w:rsidRDefault="00FC3742" w:rsidP="00FC3742">
      <w:pPr>
        <w:pStyle w:val="NoSpacing"/>
      </w:pPr>
      <w:r>
        <w:t>Timothy Taylor &amp; Co Ltd</w:t>
      </w:r>
    </w:p>
    <w:p w14:paraId="530A22CD" w14:textId="77777777" w:rsidR="00FC3742" w:rsidRDefault="00FC3742" w:rsidP="00FC3742">
      <w:pPr>
        <w:pStyle w:val="NoSpacing"/>
      </w:pPr>
      <w:r>
        <w:t>Knowle Spring Brewery</w:t>
      </w:r>
    </w:p>
    <w:p w14:paraId="46E5FE4B" w14:textId="77777777" w:rsidR="00FC3742" w:rsidRDefault="00FC3742" w:rsidP="00FC3742">
      <w:pPr>
        <w:pStyle w:val="NoSpacing"/>
      </w:pPr>
      <w:r>
        <w:t>Queens Road</w:t>
      </w:r>
    </w:p>
    <w:p w14:paraId="00596BB3" w14:textId="77777777" w:rsidR="00FC3742" w:rsidRDefault="00FC3742" w:rsidP="00FC3742">
      <w:pPr>
        <w:pStyle w:val="NoSpacing"/>
      </w:pPr>
      <w:r>
        <w:t>Keighley</w:t>
      </w:r>
    </w:p>
    <w:p w14:paraId="7D389008" w14:textId="2A289D61" w:rsidR="00B846A1" w:rsidRDefault="00FC3742" w:rsidP="00FC3742">
      <w:pPr>
        <w:pStyle w:val="NoSpacing"/>
      </w:pPr>
      <w:r>
        <w:t>BD21 1AW</w:t>
      </w:r>
    </w:p>
    <w:sectPr w:rsidR="00B846A1" w:rsidSect="00DD636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DEB9" w14:textId="77777777" w:rsidR="00CB3DE4" w:rsidRDefault="00CB3DE4" w:rsidP="00D16F4F">
      <w:pPr>
        <w:spacing w:after="0" w:line="240" w:lineRule="auto"/>
      </w:pPr>
      <w:r>
        <w:separator/>
      </w:r>
    </w:p>
  </w:endnote>
  <w:endnote w:type="continuationSeparator" w:id="0">
    <w:p w14:paraId="4E0DD39B" w14:textId="77777777" w:rsidR="00CB3DE4" w:rsidRDefault="00CB3DE4" w:rsidP="00D1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9011" w14:textId="7378DA6B" w:rsidR="00DA6A1B" w:rsidRPr="00D16F4F" w:rsidRDefault="009A021F">
    <w:pPr>
      <w:pStyle w:val="Footer"/>
      <w:rPr>
        <w:noProof/>
        <w:sz w:val="20"/>
        <w:szCs w:val="20"/>
      </w:rPr>
    </w:pPr>
    <w:r w:rsidRPr="009A021F">
      <w:rPr>
        <w:sz w:val="20"/>
        <w:szCs w:val="20"/>
      </w:rPr>
      <w:t>Royal Oak, Ripon</w:t>
    </w:r>
    <w:r>
      <w:rPr>
        <w:sz w:val="20"/>
        <w:szCs w:val="20"/>
      </w:rPr>
      <w:t xml:space="preserve"> </w:t>
    </w:r>
    <w:r w:rsidR="00B8320B" w:rsidRPr="00B8320B">
      <w:rPr>
        <w:sz w:val="20"/>
        <w:szCs w:val="20"/>
      </w:rPr>
      <w:t>- Tenancy</w:t>
    </w:r>
    <w:r w:rsidR="00DA6A1B">
      <w:rPr>
        <w:sz w:val="20"/>
        <w:szCs w:val="20"/>
      </w:rPr>
      <w:tab/>
    </w:r>
    <w:r>
      <w:rPr>
        <w:sz w:val="20"/>
        <w:szCs w:val="20"/>
      </w:rPr>
      <w:tab/>
    </w:r>
    <w:r w:rsidR="00DA6A1B">
      <w:rPr>
        <w:sz w:val="20"/>
        <w:szCs w:val="20"/>
      </w:rPr>
      <w:fldChar w:fldCharType="begin"/>
    </w:r>
    <w:r w:rsidR="00DA6A1B">
      <w:rPr>
        <w:sz w:val="20"/>
        <w:szCs w:val="20"/>
      </w:rPr>
      <w:instrText xml:space="preserve"> DATE \@ "dd/MM/yyyy" </w:instrText>
    </w:r>
    <w:r w:rsidR="00DA6A1B">
      <w:rPr>
        <w:sz w:val="20"/>
        <w:szCs w:val="20"/>
      </w:rPr>
      <w:fldChar w:fldCharType="separate"/>
    </w:r>
    <w:r w:rsidR="005D0127">
      <w:rPr>
        <w:noProof/>
        <w:sz w:val="20"/>
        <w:szCs w:val="20"/>
      </w:rPr>
      <w:t>30/04/2025</w:t>
    </w:r>
    <w:r w:rsidR="00DA6A1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D3D06" w14:textId="77777777" w:rsidR="00CB3DE4" w:rsidRDefault="00CB3DE4" w:rsidP="00D16F4F">
      <w:pPr>
        <w:spacing w:after="0" w:line="240" w:lineRule="auto"/>
      </w:pPr>
      <w:r>
        <w:separator/>
      </w:r>
    </w:p>
  </w:footnote>
  <w:footnote w:type="continuationSeparator" w:id="0">
    <w:p w14:paraId="5187A963" w14:textId="77777777" w:rsidR="00CB3DE4" w:rsidRDefault="00CB3DE4" w:rsidP="00D1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40D6A"/>
    <w:multiLevelType w:val="hybridMultilevel"/>
    <w:tmpl w:val="ADE0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A24DC"/>
    <w:multiLevelType w:val="hybridMultilevel"/>
    <w:tmpl w:val="ADE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B55E7"/>
    <w:multiLevelType w:val="hybridMultilevel"/>
    <w:tmpl w:val="8996E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86C81"/>
    <w:multiLevelType w:val="hybridMultilevel"/>
    <w:tmpl w:val="DECA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94113">
    <w:abstractNumId w:val="1"/>
  </w:num>
  <w:num w:numId="2" w16cid:durableId="118257123">
    <w:abstractNumId w:val="0"/>
  </w:num>
  <w:num w:numId="3" w16cid:durableId="977876651">
    <w:abstractNumId w:val="3"/>
  </w:num>
  <w:num w:numId="4" w16cid:durableId="60735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E"/>
    <w:rsid w:val="00007683"/>
    <w:rsid w:val="00025491"/>
    <w:rsid w:val="000336A1"/>
    <w:rsid w:val="00043A4D"/>
    <w:rsid w:val="00096C4C"/>
    <w:rsid w:val="000A60D9"/>
    <w:rsid w:val="000B66EB"/>
    <w:rsid w:val="000C687E"/>
    <w:rsid w:val="000D5D34"/>
    <w:rsid w:val="000D6EED"/>
    <w:rsid w:val="000D790E"/>
    <w:rsid w:val="000E3F7F"/>
    <w:rsid w:val="00100D1B"/>
    <w:rsid w:val="00102BB8"/>
    <w:rsid w:val="00106E1D"/>
    <w:rsid w:val="00107FC4"/>
    <w:rsid w:val="00113A4C"/>
    <w:rsid w:val="00136869"/>
    <w:rsid w:val="00137BAA"/>
    <w:rsid w:val="001646EA"/>
    <w:rsid w:val="001665E7"/>
    <w:rsid w:val="001A4150"/>
    <w:rsid w:val="001A66E4"/>
    <w:rsid w:val="001B06B7"/>
    <w:rsid w:val="001C19D9"/>
    <w:rsid w:val="001D593A"/>
    <w:rsid w:val="001E4178"/>
    <w:rsid w:val="00204F67"/>
    <w:rsid w:val="002052C4"/>
    <w:rsid w:val="0022288D"/>
    <w:rsid w:val="00224DBA"/>
    <w:rsid w:val="0023194E"/>
    <w:rsid w:val="0023526B"/>
    <w:rsid w:val="002378B1"/>
    <w:rsid w:val="00250E1E"/>
    <w:rsid w:val="0025174D"/>
    <w:rsid w:val="002710A2"/>
    <w:rsid w:val="002822ED"/>
    <w:rsid w:val="002925BC"/>
    <w:rsid w:val="00294116"/>
    <w:rsid w:val="002942EA"/>
    <w:rsid w:val="0029433F"/>
    <w:rsid w:val="002955DA"/>
    <w:rsid w:val="002A6184"/>
    <w:rsid w:val="002B3CDF"/>
    <w:rsid w:val="002B6876"/>
    <w:rsid w:val="002C381F"/>
    <w:rsid w:val="002D1B07"/>
    <w:rsid w:val="002F15E5"/>
    <w:rsid w:val="00305120"/>
    <w:rsid w:val="00313C38"/>
    <w:rsid w:val="0032286A"/>
    <w:rsid w:val="0033505B"/>
    <w:rsid w:val="00365C86"/>
    <w:rsid w:val="0038748B"/>
    <w:rsid w:val="003975CA"/>
    <w:rsid w:val="003A4B1A"/>
    <w:rsid w:val="003A4C3D"/>
    <w:rsid w:val="003B22D0"/>
    <w:rsid w:val="003D3E06"/>
    <w:rsid w:val="003E4EDF"/>
    <w:rsid w:val="003F2C77"/>
    <w:rsid w:val="0040091B"/>
    <w:rsid w:val="00412A0D"/>
    <w:rsid w:val="00421759"/>
    <w:rsid w:val="00421BB4"/>
    <w:rsid w:val="00440837"/>
    <w:rsid w:val="00443782"/>
    <w:rsid w:val="0044658A"/>
    <w:rsid w:val="004642BF"/>
    <w:rsid w:val="00494784"/>
    <w:rsid w:val="00496CBC"/>
    <w:rsid w:val="004A3F5B"/>
    <w:rsid w:val="004A4B59"/>
    <w:rsid w:val="004D5844"/>
    <w:rsid w:val="004E4A25"/>
    <w:rsid w:val="004F6E86"/>
    <w:rsid w:val="005552E5"/>
    <w:rsid w:val="00590747"/>
    <w:rsid w:val="00591FE7"/>
    <w:rsid w:val="005A2176"/>
    <w:rsid w:val="005A6FDA"/>
    <w:rsid w:val="005B5DAC"/>
    <w:rsid w:val="005C7487"/>
    <w:rsid w:val="005D0127"/>
    <w:rsid w:val="005D1ACC"/>
    <w:rsid w:val="005E272B"/>
    <w:rsid w:val="005F6E84"/>
    <w:rsid w:val="006014EA"/>
    <w:rsid w:val="006075CB"/>
    <w:rsid w:val="00636DD2"/>
    <w:rsid w:val="006408B0"/>
    <w:rsid w:val="00674AED"/>
    <w:rsid w:val="0067547E"/>
    <w:rsid w:val="006857A2"/>
    <w:rsid w:val="006900CD"/>
    <w:rsid w:val="006A4D68"/>
    <w:rsid w:val="006A7562"/>
    <w:rsid w:val="006C3731"/>
    <w:rsid w:val="006F4F4A"/>
    <w:rsid w:val="00705D3B"/>
    <w:rsid w:val="007404BC"/>
    <w:rsid w:val="00743F3F"/>
    <w:rsid w:val="00744B2C"/>
    <w:rsid w:val="00754287"/>
    <w:rsid w:val="00754EE0"/>
    <w:rsid w:val="007646FB"/>
    <w:rsid w:val="00765051"/>
    <w:rsid w:val="00771422"/>
    <w:rsid w:val="007721AA"/>
    <w:rsid w:val="007723D2"/>
    <w:rsid w:val="0078645A"/>
    <w:rsid w:val="007878CF"/>
    <w:rsid w:val="00795F30"/>
    <w:rsid w:val="007A0F25"/>
    <w:rsid w:val="007A3602"/>
    <w:rsid w:val="007A3F3C"/>
    <w:rsid w:val="007C7C37"/>
    <w:rsid w:val="00807A81"/>
    <w:rsid w:val="00833988"/>
    <w:rsid w:val="008379DB"/>
    <w:rsid w:val="0086479E"/>
    <w:rsid w:val="00870D3C"/>
    <w:rsid w:val="0087690E"/>
    <w:rsid w:val="00880B96"/>
    <w:rsid w:val="008858A9"/>
    <w:rsid w:val="00887F7C"/>
    <w:rsid w:val="00897C4E"/>
    <w:rsid w:val="008C3220"/>
    <w:rsid w:val="008C74CB"/>
    <w:rsid w:val="008D02C9"/>
    <w:rsid w:val="008D318D"/>
    <w:rsid w:val="008D3F11"/>
    <w:rsid w:val="008F5514"/>
    <w:rsid w:val="008F657A"/>
    <w:rsid w:val="00900B5D"/>
    <w:rsid w:val="009122F7"/>
    <w:rsid w:val="0091648A"/>
    <w:rsid w:val="00930AD1"/>
    <w:rsid w:val="009328DD"/>
    <w:rsid w:val="009413C3"/>
    <w:rsid w:val="00944F82"/>
    <w:rsid w:val="00984C41"/>
    <w:rsid w:val="00995157"/>
    <w:rsid w:val="009A021F"/>
    <w:rsid w:val="009A5C7C"/>
    <w:rsid w:val="009A5D27"/>
    <w:rsid w:val="009B2BD7"/>
    <w:rsid w:val="009D3F35"/>
    <w:rsid w:val="00A0376D"/>
    <w:rsid w:val="00A22B54"/>
    <w:rsid w:val="00A3271F"/>
    <w:rsid w:val="00A46A47"/>
    <w:rsid w:val="00A54A1B"/>
    <w:rsid w:val="00A5753E"/>
    <w:rsid w:val="00A6637A"/>
    <w:rsid w:val="00A75D6C"/>
    <w:rsid w:val="00A771AA"/>
    <w:rsid w:val="00AF15FF"/>
    <w:rsid w:val="00B05D70"/>
    <w:rsid w:val="00B0604F"/>
    <w:rsid w:val="00B20235"/>
    <w:rsid w:val="00B34123"/>
    <w:rsid w:val="00B50E2C"/>
    <w:rsid w:val="00B61D36"/>
    <w:rsid w:val="00B6414A"/>
    <w:rsid w:val="00B65254"/>
    <w:rsid w:val="00B67F0C"/>
    <w:rsid w:val="00B71244"/>
    <w:rsid w:val="00B8320B"/>
    <w:rsid w:val="00B846A1"/>
    <w:rsid w:val="00B857B5"/>
    <w:rsid w:val="00B86F0B"/>
    <w:rsid w:val="00B90E43"/>
    <w:rsid w:val="00BA7ABF"/>
    <w:rsid w:val="00BB516E"/>
    <w:rsid w:val="00BC18EB"/>
    <w:rsid w:val="00BC5C2A"/>
    <w:rsid w:val="00BC70C5"/>
    <w:rsid w:val="00BD22EC"/>
    <w:rsid w:val="00BD6BFA"/>
    <w:rsid w:val="00BE0412"/>
    <w:rsid w:val="00BE19B2"/>
    <w:rsid w:val="00BE71C0"/>
    <w:rsid w:val="00BE774A"/>
    <w:rsid w:val="00BF5F56"/>
    <w:rsid w:val="00C11EAA"/>
    <w:rsid w:val="00C20E8D"/>
    <w:rsid w:val="00C2662F"/>
    <w:rsid w:val="00C60D56"/>
    <w:rsid w:val="00C613D4"/>
    <w:rsid w:val="00C61D62"/>
    <w:rsid w:val="00C66296"/>
    <w:rsid w:val="00C664CC"/>
    <w:rsid w:val="00C679D8"/>
    <w:rsid w:val="00C8368F"/>
    <w:rsid w:val="00CA7CF7"/>
    <w:rsid w:val="00CB3DE4"/>
    <w:rsid w:val="00CD49D1"/>
    <w:rsid w:val="00CE0B83"/>
    <w:rsid w:val="00CE1C05"/>
    <w:rsid w:val="00CF1978"/>
    <w:rsid w:val="00CF285E"/>
    <w:rsid w:val="00D025E0"/>
    <w:rsid w:val="00D05F89"/>
    <w:rsid w:val="00D14DF2"/>
    <w:rsid w:val="00D16F4F"/>
    <w:rsid w:val="00D205C4"/>
    <w:rsid w:val="00D22E6A"/>
    <w:rsid w:val="00D27AB3"/>
    <w:rsid w:val="00D3422E"/>
    <w:rsid w:val="00D41DB8"/>
    <w:rsid w:val="00D444FC"/>
    <w:rsid w:val="00D47173"/>
    <w:rsid w:val="00D62A0B"/>
    <w:rsid w:val="00D63B76"/>
    <w:rsid w:val="00D647BC"/>
    <w:rsid w:val="00D71C32"/>
    <w:rsid w:val="00D81345"/>
    <w:rsid w:val="00D86107"/>
    <w:rsid w:val="00D926ED"/>
    <w:rsid w:val="00D95479"/>
    <w:rsid w:val="00DA37E8"/>
    <w:rsid w:val="00DA6A1B"/>
    <w:rsid w:val="00DB1091"/>
    <w:rsid w:val="00DB2D25"/>
    <w:rsid w:val="00DD6362"/>
    <w:rsid w:val="00DE71EC"/>
    <w:rsid w:val="00DF6A81"/>
    <w:rsid w:val="00E02FE7"/>
    <w:rsid w:val="00E109A9"/>
    <w:rsid w:val="00E20DFA"/>
    <w:rsid w:val="00E24FEF"/>
    <w:rsid w:val="00E432FE"/>
    <w:rsid w:val="00E500A7"/>
    <w:rsid w:val="00E56DCF"/>
    <w:rsid w:val="00E743B5"/>
    <w:rsid w:val="00E81720"/>
    <w:rsid w:val="00EB14E4"/>
    <w:rsid w:val="00EB1F16"/>
    <w:rsid w:val="00EC1EB6"/>
    <w:rsid w:val="00EE560E"/>
    <w:rsid w:val="00F02A4E"/>
    <w:rsid w:val="00F03BDE"/>
    <w:rsid w:val="00F0569A"/>
    <w:rsid w:val="00F063E5"/>
    <w:rsid w:val="00F139D2"/>
    <w:rsid w:val="00F23413"/>
    <w:rsid w:val="00F26354"/>
    <w:rsid w:val="00F26B1C"/>
    <w:rsid w:val="00F32046"/>
    <w:rsid w:val="00F37377"/>
    <w:rsid w:val="00F37C9B"/>
    <w:rsid w:val="00F50CA4"/>
    <w:rsid w:val="00F724EA"/>
    <w:rsid w:val="00F80B9A"/>
    <w:rsid w:val="00FC3742"/>
    <w:rsid w:val="00FC530F"/>
    <w:rsid w:val="00FD5393"/>
    <w:rsid w:val="00FE239B"/>
    <w:rsid w:val="00FE2EEC"/>
    <w:rsid w:val="00FF2721"/>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8FBC"/>
  <w15:docId w15:val="{942ABA3D-33F5-4829-9404-FF5E80D8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091"/>
    <w:pPr>
      <w:spacing w:after="0" w:line="240" w:lineRule="auto"/>
    </w:pPr>
  </w:style>
  <w:style w:type="paragraph" w:styleId="BalloonText">
    <w:name w:val="Balloon Text"/>
    <w:basedOn w:val="Normal"/>
    <w:link w:val="BalloonTextChar"/>
    <w:uiPriority w:val="99"/>
    <w:semiHidden/>
    <w:unhideWhenUsed/>
    <w:rsid w:val="0086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9E"/>
    <w:rPr>
      <w:rFonts w:ascii="Tahoma" w:hAnsi="Tahoma" w:cs="Tahoma"/>
      <w:sz w:val="16"/>
      <w:szCs w:val="16"/>
    </w:rPr>
  </w:style>
  <w:style w:type="table" w:styleId="TableGrid">
    <w:name w:val="Table Grid"/>
    <w:basedOn w:val="TableNormal"/>
    <w:uiPriority w:val="59"/>
    <w:rsid w:val="0086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25BC"/>
    <w:pPr>
      <w:tabs>
        <w:tab w:val="left" w:pos="270"/>
        <w:tab w:val="left" w:pos="36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2925BC"/>
    <w:rPr>
      <w:rFonts w:ascii="Bookman Old Style" w:eastAsia="Times New Roman" w:hAnsi="Bookman Old Style" w:cs="Times New Roman"/>
      <w:sz w:val="24"/>
      <w:szCs w:val="20"/>
    </w:rPr>
  </w:style>
  <w:style w:type="paragraph" w:styleId="BodyText2">
    <w:name w:val="Body Text 2"/>
    <w:basedOn w:val="Normal"/>
    <w:link w:val="BodyText2Char"/>
    <w:rsid w:val="002925BC"/>
    <w:pPr>
      <w:spacing w:after="0" w:line="240" w:lineRule="auto"/>
    </w:pPr>
    <w:rPr>
      <w:rFonts w:ascii="Bookman Old Style" w:eastAsia="Times New Roman" w:hAnsi="Bookman Old Style" w:cs="Times New Roman"/>
      <w:b/>
      <w:sz w:val="24"/>
      <w:szCs w:val="20"/>
    </w:rPr>
  </w:style>
  <w:style w:type="character" w:customStyle="1" w:styleId="BodyText2Char">
    <w:name w:val="Body Text 2 Char"/>
    <w:basedOn w:val="DefaultParagraphFont"/>
    <w:link w:val="BodyText2"/>
    <w:rsid w:val="002925BC"/>
    <w:rPr>
      <w:rFonts w:ascii="Bookman Old Style" w:eastAsia="Times New Roman" w:hAnsi="Bookman Old Style" w:cs="Times New Roman"/>
      <w:b/>
      <w:sz w:val="24"/>
      <w:szCs w:val="20"/>
    </w:rPr>
  </w:style>
  <w:style w:type="paragraph" w:styleId="Header">
    <w:name w:val="header"/>
    <w:basedOn w:val="Normal"/>
    <w:link w:val="HeaderChar"/>
    <w:uiPriority w:val="99"/>
    <w:unhideWhenUsed/>
    <w:rsid w:val="00D1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4F"/>
  </w:style>
  <w:style w:type="paragraph" w:styleId="Footer">
    <w:name w:val="footer"/>
    <w:basedOn w:val="Normal"/>
    <w:link w:val="FooterChar"/>
    <w:uiPriority w:val="99"/>
    <w:unhideWhenUsed/>
    <w:rsid w:val="00D1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4F"/>
  </w:style>
  <w:style w:type="character" w:styleId="Hyperlink">
    <w:name w:val="Hyperlink"/>
    <w:basedOn w:val="DefaultParagraphFont"/>
    <w:uiPriority w:val="99"/>
    <w:unhideWhenUsed/>
    <w:rsid w:val="005A2176"/>
    <w:rPr>
      <w:color w:val="17BBFD" w:themeColor="hyperlink"/>
      <w:u w:val="single"/>
    </w:rPr>
  </w:style>
  <w:style w:type="character" w:customStyle="1" w:styleId="UnresolvedMention1">
    <w:name w:val="Unresolved Mention1"/>
    <w:basedOn w:val="DefaultParagraphFont"/>
    <w:uiPriority w:val="99"/>
    <w:semiHidden/>
    <w:unhideWhenUsed/>
    <w:rsid w:val="00C20E8D"/>
    <w:rPr>
      <w:color w:val="605E5C"/>
      <w:shd w:val="clear" w:color="auto" w:fill="E1DFDD"/>
    </w:rPr>
  </w:style>
  <w:style w:type="paragraph" w:styleId="ListParagraph">
    <w:name w:val="List Paragraph"/>
    <w:basedOn w:val="Normal"/>
    <w:uiPriority w:val="34"/>
    <w:qFormat/>
    <w:rsid w:val="00B67F0C"/>
    <w:pPr>
      <w:ind w:left="720"/>
      <w:contextualSpacing/>
    </w:pPr>
  </w:style>
  <w:style w:type="character" w:styleId="UnresolvedMention">
    <w:name w:val="Unresolved Mention"/>
    <w:basedOn w:val="DefaultParagraphFont"/>
    <w:uiPriority w:val="99"/>
    <w:semiHidden/>
    <w:unhideWhenUsed/>
    <w:rsid w:val="000C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ul.turner@timtaylor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turner@timtaylors.co.uk"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Arial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Burton</dc:creator>
  <cp:keywords/>
  <dc:description/>
  <cp:lastModifiedBy>Scott Cameron</cp:lastModifiedBy>
  <cp:revision>2</cp:revision>
  <cp:lastPrinted>2018-08-31T14:23:00Z</cp:lastPrinted>
  <dcterms:created xsi:type="dcterms:W3CDTF">2025-04-30T13:08:00Z</dcterms:created>
  <dcterms:modified xsi:type="dcterms:W3CDTF">2025-04-30T13:08:00Z</dcterms:modified>
</cp:coreProperties>
</file>